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048E7" w:rsidRPr="002048E7" w:rsidRDefault="002048E7" w:rsidP="002048E7">
      <w:bookmarkStart w:id="0" w:name="_GoBack"/>
      <w:r w:rsidRPr="002048E7">
        <w:t>Základní požadavky kladené na řídící prvky používané v systému města:</w:t>
      </w:r>
    </w:p>
    <w:tbl>
      <w:tblPr>
        <w:tblW w:w="0" w:type="auto"/>
        <w:tblInd w:w="-108" w:type="dxa"/>
        <w:tblCellMar>
          <w:left w:w="0" w:type="dxa"/>
          <w:right w:w="0" w:type="dxa"/>
        </w:tblCellMar>
        <w:tblLook w:val="04A0" w:firstRow="1" w:lastRow="0" w:firstColumn="1" w:lastColumn="0" w:noHBand="0" w:noVBand="1"/>
      </w:tblPr>
      <w:tblGrid>
        <w:gridCol w:w="7389"/>
        <w:gridCol w:w="1791"/>
      </w:tblGrid>
      <w:tr w:rsidR="002048E7" w:rsidRPr="002048E7">
        <w:trPr>
          <w:trHeight w:val="230"/>
        </w:trPr>
        <w:tc>
          <w:tcPr>
            <w:tcW w:w="0" w:type="auto"/>
            <w:tcMar>
              <w:top w:w="0" w:type="dxa"/>
              <w:left w:w="108" w:type="dxa"/>
              <w:bottom w:w="0" w:type="dxa"/>
              <w:right w:w="108" w:type="dxa"/>
            </w:tcMar>
            <w:hideMark/>
          </w:tcPr>
          <w:p w:rsidR="002048E7" w:rsidRPr="002048E7" w:rsidRDefault="002048E7" w:rsidP="002048E7">
            <w:r w:rsidRPr="002048E7">
              <w:t>spínací prvek umožní řízení svítidla pomocí</w:t>
            </w:r>
          </w:p>
        </w:tc>
        <w:tc>
          <w:tcPr>
            <w:tcW w:w="0" w:type="auto"/>
            <w:tcMar>
              <w:top w:w="0" w:type="dxa"/>
              <w:left w:w="108" w:type="dxa"/>
              <w:bottom w:w="0" w:type="dxa"/>
              <w:right w:w="108" w:type="dxa"/>
            </w:tcMar>
            <w:hideMark/>
          </w:tcPr>
          <w:p w:rsidR="002048E7" w:rsidRPr="002048E7" w:rsidRDefault="002048E7" w:rsidP="002048E7">
            <w:r w:rsidRPr="002048E7">
              <w:t>DALI LIN ovládací fáze</w:t>
            </w:r>
          </w:p>
        </w:tc>
      </w:tr>
      <w:tr w:rsidR="002048E7" w:rsidRPr="002048E7">
        <w:trPr>
          <w:trHeight w:val="230"/>
        </w:trPr>
        <w:tc>
          <w:tcPr>
            <w:tcW w:w="0" w:type="auto"/>
            <w:tcMar>
              <w:top w:w="0" w:type="dxa"/>
              <w:left w:w="108" w:type="dxa"/>
              <w:bottom w:w="0" w:type="dxa"/>
              <w:right w:w="108" w:type="dxa"/>
            </w:tcMar>
            <w:hideMark/>
          </w:tcPr>
          <w:p w:rsidR="002048E7" w:rsidRPr="002048E7" w:rsidRDefault="002048E7" w:rsidP="002048E7">
            <w:r w:rsidRPr="002048E7">
              <w:t xml:space="preserve">prvek je schopen dodávat do spotřebičů umístěných na </w:t>
            </w:r>
            <w:proofErr w:type="gramStart"/>
            <w:r w:rsidRPr="002048E7">
              <w:t>stožáru(svítidlo</w:t>
            </w:r>
            <w:proofErr w:type="gramEnd"/>
            <w:r w:rsidRPr="002048E7">
              <w:t>, kamery, vánoční osvětlení, …) trvalý příkon</w:t>
            </w:r>
          </w:p>
        </w:tc>
        <w:tc>
          <w:tcPr>
            <w:tcW w:w="0" w:type="auto"/>
            <w:tcMar>
              <w:top w:w="0" w:type="dxa"/>
              <w:left w:w="108" w:type="dxa"/>
              <w:bottom w:w="0" w:type="dxa"/>
              <w:right w:w="108" w:type="dxa"/>
            </w:tcMar>
            <w:hideMark/>
          </w:tcPr>
          <w:p w:rsidR="002048E7" w:rsidRPr="002048E7" w:rsidRDefault="002048E7" w:rsidP="002048E7">
            <w:r w:rsidRPr="002048E7">
              <w:t>až 200W</w:t>
            </w:r>
          </w:p>
        </w:tc>
      </w:tr>
      <w:tr w:rsidR="002048E7" w:rsidRPr="002048E7">
        <w:trPr>
          <w:trHeight w:val="80"/>
        </w:trPr>
        <w:tc>
          <w:tcPr>
            <w:tcW w:w="0" w:type="auto"/>
            <w:tcMar>
              <w:top w:w="0" w:type="dxa"/>
              <w:left w:w="108" w:type="dxa"/>
              <w:bottom w:w="0" w:type="dxa"/>
              <w:right w:w="108" w:type="dxa"/>
            </w:tcMar>
            <w:hideMark/>
          </w:tcPr>
          <w:p w:rsidR="002048E7" w:rsidRPr="002048E7" w:rsidRDefault="002048E7" w:rsidP="002048E7">
            <w:r w:rsidRPr="002048E7">
              <w:t>spotřeba prvku v klidovém stavu nepřesáhne</w:t>
            </w:r>
          </w:p>
        </w:tc>
        <w:tc>
          <w:tcPr>
            <w:tcW w:w="0" w:type="auto"/>
            <w:tcMar>
              <w:top w:w="0" w:type="dxa"/>
              <w:left w:w="108" w:type="dxa"/>
              <w:bottom w:w="0" w:type="dxa"/>
              <w:right w:w="108" w:type="dxa"/>
            </w:tcMar>
            <w:hideMark/>
          </w:tcPr>
          <w:p w:rsidR="002048E7" w:rsidRPr="002048E7" w:rsidRDefault="002048E7" w:rsidP="002048E7">
            <w:r w:rsidRPr="002048E7">
              <w:t>1 W</w:t>
            </w:r>
          </w:p>
        </w:tc>
      </w:tr>
      <w:tr w:rsidR="002048E7" w:rsidRPr="002048E7">
        <w:trPr>
          <w:trHeight w:val="80"/>
        </w:trPr>
        <w:tc>
          <w:tcPr>
            <w:tcW w:w="0" w:type="auto"/>
            <w:tcMar>
              <w:top w:w="0" w:type="dxa"/>
              <w:left w:w="108" w:type="dxa"/>
              <w:bottom w:w="0" w:type="dxa"/>
              <w:right w:w="108" w:type="dxa"/>
            </w:tcMar>
            <w:hideMark/>
          </w:tcPr>
          <w:p w:rsidR="002048E7" w:rsidRPr="002048E7" w:rsidRDefault="002048E7" w:rsidP="002048E7">
            <w:r w:rsidRPr="002048E7">
              <w:t>dokáže indikovat otevření dvířek stožáru</w:t>
            </w:r>
          </w:p>
        </w:tc>
        <w:tc>
          <w:tcPr>
            <w:tcW w:w="0" w:type="auto"/>
            <w:tcMar>
              <w:top w:w="0" w:type="dxa"/>
              <w:left w:w="108" w:type="dxa"/>
              <w:bottom w:w="0" w:type="dxa"/>
              <w:right w:w="108" w:type="dxa"/>
            </w:tcMar>
            <w:hideMark/>
          </w:tcPr>
          <w:p w:rsidR="002048E7" w:rsidRPr="002048E7" w:rsidRDefault="002048E7" w:rsidP="002048E7">
            <w:r w:rsidRPr="002048E7">
              <w:t>ANO</w:t>
            </w:r>
          </w:p>
        </w:tc>
      </w:tr>
      <w:tr w:rsidR="002048E7" w:rsidRPr="002048E7">
        <w:trPr>
          <w:trHeight w:val="80"/>
        </w:trPr>
        <w:tc>
          <w:tcPr>
            <w:tcW w:w="0" w:type="auto"/>
            <w:tcMar>
              <w:top w:w="0" w:type="dxa"/>
              <w:left w:w="108" w:type="dxa"/>
              <w:bottom w:w="0" w:type="dxa"/>
              <w:right w:w="108" w:type="dxa"/>
            </w:tcMar>
            <w:hideMark/>
          </w:tcPr>
          <w:p w:rsidR="002048E7" w:rsidRPr="002048E7" w:rsidRDefault="002048E7" w:rsidP="002048E7">
            <w:r w:rsidRPr="002048E7">
              <w:t>komunikace s RVO po napájecím vedení (PLC)</w:t>
            </w:r>
          </w:p>
        </w:tc>
        <w:tc>
          <w:tcPr>
            <w:tcW w:w="0" w:type="auto"/>
            <w:tcMar>
              <w:top w:w="0" w:type="dxa"/>
              <w:left w:w="108" w:type="dxa"/>
              <w:bottom w:w="0" w:type="dxa"/>
              <w:right w:w="108" w:type="dxa"/>
            </w:tcMar>
            <w:hideMark/>
          </w:tcPr>
          <w:p w:rsidR="002048E7" w:rsidRPr="002048E7" w:rsidRDefault="002048E7" w:rsidP="002048E7">
            <w:r w:rsidRPr="002048E7">
              <w:t>ANO</w:t>
            </w:r>
          </w:p>
        </w:tc>
      </w:tr>
      <w:tr w:rsidR="002048E7" w:rsidRPr="002048E7">
        <w:trPr>
          <w:trHeight w:val="80"/>
        </w:trPr>
        <w:tc>
          <w:tcPr>
            <w:tcW w:w="0" w:type="auto"/>
            <w:tcMar>
              <w:top w:w="0" w:type="dxa"/>
              <w:left w:w="108" w:type="dxa"/>
              <w:bottom w:w="0" w:type="dxa"/>
              <w:right w:w="108" w:type="dxa"/>
            </w:tcMar>
            <w:hideMark/>
          </w:tcPr>
          <w:p w:rsidR="002048E7" w:rsidRPr="002048E7" w:rsidRDefault="002048E7" w:rsidP="002048E7">
            <w:r w:rsidRPr="002048E7">
              <w:t>komunikace odolná proti rušení na starých a nekvalitních vedeních</w:t>
            </w:r>
          </w:p>
        </w:tc>
        <w:tc>
          <w:tcPr>
            <w:tcW w:w="0" w:type="auto"/>
            <w:tcMar>
              <w:top w:w="0" w:type="dxa"/>
              <w:left w:w="108" w:type="dxa"/>
              <w:bottom w:w="0" w:type="dxa"/>
              <w:right w:w="108" w:type="dxa"/>
            </w:tcMar>
            <w:hideMark/>
          </w:tcPr>
          <w:p w:rsidR="002048E7" w:rsidRPr="002048E7" w:rsidRDefault="002048E7" w:rsidP="002048E7">
            <w:r w:rsidRPr="002048E7">
              <w:t>ANO</w:t>
            </w:r>
          </w:p>
        </w:tc>
      </w:tr>
      <w:tr w:rsidR="002048E7" w:rsidRPr="002048E7">
        <w:trPr>
          <w:trHeight w:val="80"/>
        </w:trPr>
        <w:tc>
          <w:tcPr>
            <w:tcW w:w="0" w:type="auto"/>
            <w:tcMar>
              <w:top w:w="0" w:type="dxa"/>
              <w:left w:w="108" w:type="dxa"/>
              <w:bottom w:w="0" w:type="dxa"/>
              <w:right w:w="108" w:type="dxa"/>
            </w:tcMar>
            <w:hideMark/>
          </w:tcPr>
          <w:p w:rsidR="002048E7" w:rsidRPr="002048E7" w:rsidRDefault="002048E7" w:rsidP="002048E7">
            <w:r w:rsidRPr="002048E7">
              <w:t>ochrana proti přepětí alespoň</w:t>
            </w:r>
          </w:p>
        </w:tc>
        <w:tc>
          <w:tcPr>
            <w:tcW w:w="0" w:type="auto"/>
            <w:tcMar>
              <w:top w:w="0" w:type="dxa"/>
              <w:left w:w="108" w:type="dxa"/>
              <w:bottom w:w="0" w:type="dxa"/>
              <w:right w:w="108" w:type="dxa"/>
            </w:tcMar>
            <w:hideMark/>
          </w:tcPr>
          <w:p w:rsidR="002048E7" w:rsidRPr="002048E7" w:rsidRDefault="002048E7" w:rsidP="002048E7">
            <w:r w:rsidRPr="002048E7">
              <w:t>2,5 kW</w:t>
            </w:r>
          </w:p>
        </w:tc>
      </w:tr>
      <w:tr w:rsidR="002048E7" w:rsidRPr="002048E7">
        <w:trPr>
          <w:trHeight w:val="80"/>
        </w:trPr>
        <w:tc>
          <w:tcPr>
            <w:tcW w:w="0" w:type="auto"/>
            <w:tcMar>
              <w:top w:w="0" w:type="dxa"/>
              <w:left w:w="108" w:type="dxa"/>
              <w:bottom w:w="0" w:type="dxa"/>
              <w:right w:w="108" w:type="dxa"/>
            </w:tcMar>
            <w:hideMark/>
          </w:tcPr>
          <w:p w:rsidR="002048E7" w:rsidRPr="002048E7" w:rsidRDefault="002048E7" w:rsidP="002048E7">
            <w:r w:rsidRPr="002048E7">
              <w:t>silové spínání minimálně</w:t>
            </w:r>
          </w:p>
        </w:tc>
        <w:tc>
          <w:tcPr>
            <w:tcW w:w="0" w:type="auto"/>
            <w:tcMar>
              <w:top w:w="0" w:type="dxa"/>
              <w:left w:w="108" w:type="dxa"/>
              <w:bottom w:w="0" w:type="dxa"/>
              <w:right w:w="108" w:type="dxa"/>
            </w:tcMar>
            <w:hideMark/>
          </w:tcPr>
          <w:p w:rsidR="002048E7" w:rsidRPr="002048E7" w:rsidRDefault="002048E7" w:rsidP="002048E7">
            <w:r w:rsidRPr="002048E7">
              <w:t>3 A</w:t>
            </w:r>
          </w:p>
        </w:tc>
      </w:tr>
      <w:tr w:rsidR="002048E7" w:rsidRPr="002048E7">
        <w:trPr>
          <w:trHeight w:val="80"/>
        </w:trPr>
        <w:tc>
          <w:tcPr>
            <w:tcW w:w="0" w:type="auto"/>
            <w:tcMar>
              <w:top w:w="0" w:type="dxa"/>
              <w:left w:w="108" w:type="dxa"/>
              <w:bottom w:w="0" w:type="dxa"/>
              <w:right w:w="108" w:type="dxa"/>
            </w:tcMar>
            <w:hideMark/>
          </w:tcPr>
          <w:p w:rsidR="002048E7" w:rsidRPr="002048E7" w:rsidRDefault="002048E7" w:rsidP="002048E7">
            <w:r w:rsidRPr="002048E7">
              <w:t>EID identifikátor</w:t>
            </w:r>
          </w:p>
        </w:tc>
        <w:tc>
          <w:tcPr>
            <w:tcW w:w="0" w:type="auto"/>
            <w:tcMar>
              <w:top w:w="0" w:type="dxa"/>
              <w:left w:w="108" w:type="dxa"/>
              <w:bottom w:w="0" w:type="dxa"/>
              <w:right w:w="108" w:type="dxa"/>
            </w:tcMar>
            <w:hideMark/>
          </w:tcPr>
          <w:p w:rsidR="002048E7" w:rsidRPr="002048E7" w:rsidRDefault="002048E7" w:rsidP="002048E7">
            <w:r w:rsidRPr="002048E7">
              <w:t>ANO</w:t>
            </w:r>
          </w:p>
        </w:tc>
      </w:tr>
      <w:tr w:rsidR="002048E7" w:rsidRPr="002048E7">
        <w:trPr>
          <w:trHeight w:val="80"/>
        </w:trPr>
        <w:tc>
          <w:tcPr>
            <w:tcW w:w="0" w:type="auto"/>
            <w:tcMar>
              <w:top w:w="0" w:type="dxa"/>
              <w:left w:w="108" w:type="dxa"/>
              <w:bottom w:w="0" w:type="dxa"/>
              <w:right w:w="108" w:type="dxa"/>
            </w:tcMar>
            <w:hideMark/>
          </w:tcPr>
          <w:p w:rsidR="002048E7" w:rsidRPr="002048E7" w:rsidRDefault="002048E7" w:rsidP="002048E7">
            <w:r w:rsidRPr="002048E7">
              <w:t>interní paměť pro naměřená data</w:t>
            </w:r>
          </w:p>
        </w:tc>
        <w:tc>
          <w:tcPr>
            <w:tcW w:w="0" w:type="auto"/>
            <w:tcMar>
              <w:top w:w="0" w:type="dxa"/>
              <w:left w:w="108" w:type="dxa"/>
              <w:bottom w:w="0" w:type="dxa"/>
              <w:right w:w="108" w:type="dxa"/>
            </w:tcMar>
            <w:hideMark/>
          </w:tcPr>
          <w:p w:rsidR="002048E7" w:rsidRPr="002048E7" w:rsidRDefault="002048E7" w:rsidP="002048E7">
            <w:r w:rsidRPr="002048E7">
              <w:t>ANO</w:t>
            </w:r>
          </w:p>
        </w:tc>
      </w:tr>
      <w:tr w:rsidR="002048E7" w:rsidRPr="002048E7">
        <w:trPr>
          <w:trHeight w:val="80"/>
        </w:trPr>
        <w:tc>
          <w:tcPr>
            <w:tcW w:w="0" w:type="auto"/>
            <w:tcMar>
              <w:top w:w="0" w:type="dxa"/>
              <w:left w:w="108" w:type="dxa"/>
              <w:bottom w:w="0" w:type="dxa"/>
              <w:right w:w="108" w:type="dxa"/>
            </w:tcMar>
            <w:hideMark/>
          </w:tcPr>
          <w:p w:rsidR="002048E7" w:rsidRPr="002048E7" w:rsidRDefault="002048E7" w:rsidP="002048E7">
            <w:r w:rsidRPr="002048E7">
              <w:t>možnost vzdáleného update FW</w:t>
            </w:r>
          </w:p>
        </w:tc>
        <w:tc>
          <w:tcPr>
            <w:tcW w:w="0" w:type="auto"/>
            <w:tcMar>
              <w:top w:w="0" w:type="dxa"/>
              <w:left w:w="108" w:type="dxa"/>
              <w:bottom w:w="0" w:type="dxa"/>
              <w:right w:w="108" w:type="dxa"/>
            </w:tcMar>
            <w:hideMark/>
          </w:tcPr>
          <w:p w:rsidR="002048E7" w:rsidRPr="002048E7" w:rsidRDefault="002048E7" w:rsidP="002048E7">
            <w:r w:rsidRPr="002048E7">
              <w:t>ANO</w:t>
            </w:r>
          </w:p>
        </w:tc>
      </w:tr>
    </w:tbl>
    <w:p w:rsidR="002048E7" w:rsidRPr="002048E7" w:rsidRDefault="002048E7" w:rsidP="002048E7">
      <w:pPr>
        <w:numPr>
          <w:ilvl w:val="0"/>
          <w:numId w:val="1"/>
        </w:numPr>
      </w:pPr>
    </w:p>
    <w:tbl>
      <w:tblPr>
        <w:tblW w:w="0" w:type="auto"/>
        <w:tblInd w:w="-108" w:type="dxa"/>
        <w:tblCellMar>
          <w:left w:w="0" w:type="dxa"/>
          <w:right w:w="0" w:type="dxa"/>
        </w:tblCellMar>
        <w:tblLook w:val="04A0" w:firstRow="1" w:lastRow="0" w:firstColumn="1" w:lastColumn="0" w:noHBand="0" w:noVBand="1"/>
      </w:tblPr>
      <w:tblGrid>
        <w:gridCol w:w="3460"/>
        <w:gridCol w:w="5720"/>
      </w:tblGrid>
      <w:tr w:rsidR="002048E7" w:rsidRPr="002048E7">
        <w:trPr>
          <w:trHeight w:val="80"/>
        </w:trPr>
        <w:tc>
          <w:tcPr>
            <w:tcW w:w="0" w:type="auto"/>
            <w:tcMar>
              <w:top w:w="0" w:type="dxa"/>
              <w:left w:w="108" w:type="dxa"/>
              <w:bottom w:w="0" w:type="dxa"/>
              <w:right w:w="108" w:type="dxa"/>
            </w:tcMar>
            <w:hideMark/>
          </w:tcPr>
          <w:p w:rsidR="002048E7" w:rsidRPr="002048E7" w:rsidRDefault="002048E7" w:rsidP="002048E7">
            <w:r w:rsidRPr="002048E7">
              <w:t>Technické požadavky na svítidla LED světelný zdroj</w:t>
            </w:r>
          </w:p>
        </w:tc>
        <w:tc>
          <w:tcPr>
            <w:tcW w:w="0" w:type="auto"/>
            <w:tcMar>
              <w:top w:w="0" w:type="dxa"/>
              <w:left w:w="108" w:type="dxa"/>
              <w:bottom w:w="0" w:type="dxa"/>
              <w:right w:w="108" w:type="dxa"/>
            </w:tcMar>
            <w:hideMark/>
          </w:tcPr>
          <w:p w:rsidR="002048E7" w:rsidRPr="002048E7" w:rsidRDefault="002048E7" w:rsidP="002048E7">
            <w:r w:rsidRPr="002048E7">
              <w:t xml:space="preserve">LED, </w:t>
            </w:r>
            <w:proofErr w:type="spellStart"/>
            <w:r w:rsidRPr="002048E7">
              <w:t>Ra</w:t>
            </w:r>
            <w:proofErr w:type="spellEnd"/>
            <w:r w:rsidRPr="002048E7">
              <w:t xml:space="preserve"> &gt; 70</w:t>
            </w:r>
          </w:p>
        </w:tc>
      </w:tr>
      <w:tr w:rsidR="002048E7" w:rsidRPr="002048E7">
        <w:trPr>
          <w:trHeight w:val="230"/>
        </w:trPr>
        <w:tc>
          <w:tcPr>
            <w:tcW w:w="0" w:type="auto"/>
            <w:tcMar>
              <w:top w:w="0" w:type="dxa"/>
              <w:left w:w="108" w:type="dxa"/>
              <w:bottom w:w="0" w:type="dxa"/>
              <w:right w:w="108" w:type="dxa"/>
            </w:tcMar>
            <w:hideMark/>
          </w:tcPr>
          <w:p w:rsidR="002048E7" w:rsidRPr="002048E7" w:rsidRDefault="002048E7" w:rsidP="002048E7">
            <w:r w:rsidRPr="002048E7">
              <w:t>ovládání pomocí LIN nebo DALI protokolu, přičemž konstrukce svítidla umožňuje měnit:</w:t>
            </w:r>
          </w:p>
        </w:tc>
        <w:tc>
          <w:tcPr>
            <w:tcW w:w="0" w:type="auto"/>
            <w:tcMar>
              <w:top w:w="0" w:type="dxa"/>
              <w:left w:w="108" w:type="dxa"/>
              <w:bottom w:w="0" w:type="dxa"/>
              <w:right w:w="108" w:type="dxa"/>
            </w:tcMar>
            <w:hideMark/>
          </w:tcPr>
          <w:p w:rsidR="002048E7" w:rsidRPr="002048E7" w:rsidRDefault="002048E7" w:rsidP="002048E7">
            <w:r w:rsidRPr="002048E7">
              <w:t>teplotu chromatičnosti v rozsahu 2700 -6500K (resp. 1800 - 4000K)</w:t>
            </w:r>
          </w:p>
        </w:tc>
      </w:tr>
      <w:tr w:rsidR="002048E7" w:rsidRPr="002048E7">
        <w:trPr>
          <w:trHeight w:val="230"/>
        </w:trPr>
        <w:tc>
          <w:tcPr>
            <w:tcW w:w="0" w:type="auto"/>
            <w:gridSpan w:val="2"/>
            <w:tcMar>
              <w:top w:w="0" w:type="dxa"/>
              <w:left w:w="108" w:type="dxa"/>
              <w:bottom w:w="0" w:type="dxa"/>
              <w:right w:w="108" w:type="dxa"/>
            </w:tcMar>
            <w:hideMark/>
          </w:tcPr>
          <w:p w:rsidR="002048E7" w:rsidRPr="002048E7" w:rsidRDefault="002048E7" w:rsidP="002048E7">
            <w:r w:rsidRPr="002048E7">
              <w:t>intenzitu světelného toku v rozsahu 0 -100%</w:t>
            </w:r>
          </w:p>
        </w:tc>
      </w:tr>
      <w:tr w:rsidR="002048E7" w:rsidRPr="002048E7">
        <w:trPr>
          <w:trHeight w:val="380"/>
        </w:trPr>
        <w:tc>
          <w:tcPr>
            <w:tcW w:w="0" w:type="auto"/>
            <w:tcMar>
              <w:top w:w="0" w:type="dxa"/>
              <w:left w:w="108" w:type="dxa"/>
              <w:bottom w:w="0" w:type="dxa"/>
              <w:right w:w="108" w:type="dxa"/>
            </w:tcMar>
            <w:hideMark/>
          </w:tcPr>
          <w:p w:rsidR="002048E7" w:rsidRPr="002048E7" w:rsidRDefault="002048E7" w:rsidP="002048E7">
            <w:r w:rsidRPr="002048E7">
              <w:t>preferuje se řešení s individuálními, samostatně ovládanými světelnými diodami</w:t>
            </w:r>
          </w:p>
        </w:tc>
        <w:tc>
          <w:tcPr>
            <w:tcW w:w="0" w:type="auto"/>
            <w:tcMar>
              <w:top w:w="0" w:type="dxa"/>
              <w:left w:w="108" w:type="dxa"/>
              <w:bottom w:w="0" w:type="dxa"/>
              <w:right w:w="108" w:type="dxa"/>
            </w:tcMar>
            <w:hideMark/>
          </w:tcPr>
          <w:p w:rsidR="002048E7" w:rsidRPr="002048E7" w:rsidRDefault="002048E7" w:rsidP="002048E7">
            <w:r w:rsidRPr="002048E7">
              <w:t>možnost měnit vyzařovací charakteristiku s ohledem na mokrou nebo suchou vozovku</w:t>
            </w:r>
          </w:p>
        </w:tc>
      </w:tr>
      <w:tr w:rsidR="002048E7" w:rsidRPr="002048E7">
        <w:trPr>
          <w:trHeight w:val="680"/>
        </w:trPr>
        <w:tc>
          <w:tcPr>
            <w:tcW w:w="0" w:type="auto"/>
            <w:tcMar>
              <w:top w:w="0" w:type="dxa"/>
              <w:left w:w="108" w:type="dxa"/>
              <w:bottom w:w="0" w:type="dxa"/>
              <w:right w:w="108" w:type="dxa"/>
            </w:tcMar>
            <w:hideMark/>
          </w:tcPr>
          <w:p w:rsidR="002048E7" w:rsidRPr="002048E7" w:rsidRDefault="002048E7" w:rsidP="002048E7">
            <w:r w:rsidRPr="002048E7">
              <w:t>regulace intenzity osvětlení v rozsahu 0 -</w:t>
            </w:r>
            <w:proofErr w:type="spellStart"/>
            <w:r w:rsidRPr="002048E7">
              <w:t>Mmax</w:t>
            </w:r>
            <w:proofErr w:type="spellEnd"/>
            <w:r w:rsidRPr="002048E7">
              <w:t>, přičemž</w:t>
            </w:r>
          </w:p>
        </w:tc>
        <w:tc>
          <w:tcPr>
            <w:tcW w:w="0" w:type="auto"/>
            <w:tcMar>
              <w:top w:w="0" w:type="dxa"/>
              <w:left w:w="108" w:type="dxa"/>
              <w:bottom w:w="0" w:type="dxa"/>
              <w:right w:w="108" w:type="dxa"/>
            </w:tcMar>
            <w:hideMark/>
          </w:tcPr>
          <w:p w:rsidR="002048E7" w:rsidRPr="002048E7" w:rsidRDefault="002048E7" w:rsidP="002048E7">
            <w:proofErr w:type="spellStart"/>
            <w:r w:rsidRPr="002048E7">
              <w:t>Mt</w:t>
            </w:r>
            <w:proofErr w:type="spellEnd"/>
            <w:r w:rsidRPr="002048E7">
              <w:t xml:space="preserve"> &lt;= </w:t>
            </w:r>
            <w:proofErr w:type="spellStart"/>
            <w:r w:rsidRPr="002048E7">
              <w:t>Mmax</w:t>
            </w:r>
            <w:proofErr w:type="spellEnd"/>
            <w:r w:rsidRPr="002048E7">
              <w:t xml:space="preserve"> &lt;= M1, kde </w:t>
            </w:r>
            <w:proofErr w:type="spellStart"/>
            <w:r w:rsidRPr="002048E7">
              <w:t>Mt</w:t>
            </w:r>
            <w:proofErr w:type="spellEnd"/>
            <w:r w:rsidRPr="002048E7">
              <w:t xml:space="preserve"> = </w:t>
            </w:r>
            <w:proofErr w:type="spellStart"/>
            <w:r w:rsidRPr="002048E7">
              <w:t>třídaosvětlení</w:t>
            </w:r>
            <w:proofErr w:type="spellEnd"/>
            <w:r w:rsidRPr="002048E7">
              <w:t xml:space="preserve"> dle ČSN 13201 pro danou komunikaci </w:t>
            </w:r>
            <w:proofErr w:type="spellStart"/>
            <w:r w:rsidRPr="002048E7">
              <w:t>Mmax</w:t>
            </w:r>
            <w:proofErr w:type="spellEnd"/>
            <w:r w:rsidRPr="002048E7">
              <w:t xml:space="preserve"> = </w:t>
            </w:r>
            <w:proofErr w:type="spellStart"/>
            <w:r w:rsidRPr="002048E7">
              <w:t>Mt</w:t>
            </w:r>
            <w:proofErr w:type="spellEnd"/>
            <w:r w:rsidRPr="002048E7">
              <w:t xml:space="preserve"> + </w:t>
            </w:r>
            <w:proofErr w:type="gramStart"/>
            <w:r w:rsidRPr="002048E7">
              <w:t>50% , M1</w:t>
            </w:r>
            <w:proofErr w:type="gramEnd"/>
            <w:r w:rsidRPr="002048E7">
              <w:t xml:space="preserve"> je nejvyšší třída osvětlení pro komunikace určené pro motorová vozidla</w:t>
            </w:r>
          </w:p>
        </w:tc>
      </w:tr>
      <w:tr w:rsidR="002048E7" w:rsidRPr="002048E7">
        <w:trPr>
          <w:trHeight w:val="830"/>
        </w:trPr>
        <w:tc>
          <w:tcPr>
            <w:tcW w:w="0" w:type="auto"/>
            <w:gridSpan w:val="2"/>
            <w:tcMar>
              <w:top w:w="0" w:type="dxa"/>
              <w:left w:w="108" w:type="dxa"/>
              <w:bottom w:w="0" w:type="dxa"/>
              <w:right w:w="108" w:type="dxa"/>
            </w:tcMar>
            <w:hideMark/>
          </w:tcPr>
          <w:p w:rsidR="002048E7" w:rsidRPr="002048E7" w:rsidRDefault="002048E7" w:rsidP="002048E7">
            <w:r w:rsidRPr="002048E7">
              <w:t xml:space="preserve">preferována jsou svítidla, která umožní signalizaci doplňkovými RGB </w:t>
            </w:r>
            <w:proofErr w:type="gramStart"/>
            <w:r w:rsidRPr="002048E7">
              <w:t>diodami(neslouží</w:t>
            </w:r>
            <w:proofErr w:type="gramEnd"/>
            <w:r w:rsidRPr="002048E7">
              <w:t xml:space="preserve"> k osvětlení vozovky, ale k informovanosti účastníků silničního provozu o výjimečných situacích (nehody, krizové situace, apod.)</w:t>
            </w:r>
          </w:p>
        </w:tc>
      </w:tr>
      <w:tr w:rsidR="002048E7" w:rsidRPr="002048E7">
        <w:trPr>
          <w:trHeight w:val="80"/>
        </w:trPr>
        <w:tc>
          <w:tcPr>
            <w:tcW w:w="0" w:type="auto"/>
            <w:tcMar>
              <w:top w:w="0" w:type="dxa"/>
              <w:left w:w="108" w:type="dxa"/>
              <w:bottom w:w="0" w:type="dxa"/>
              <w:right w:w="108" w:type="dxa"/>
            </w:tcMar>
            <w:hideMark/>
          </w:tcPr>
          <w:p w:rsidR="002048E7" w:rsidRPr="002048E7" w:rsidRDefault="002048E7" w:rsidP="002048E7">
            <w:r w:rsidRPr="002048E7">
              <w:lastRenderedPageBreak/>
              <w:t>polohovatelný systém držáku v rozsahu</w:t>
            </w:r>
          </w:p>
        </w:tc>
        <w:tc>
          <w:tcPr>
            <w:tcW w:w="0" w:type="auto"/>
            <w:tcMar>
              <w:top w:w="0" w:type="dxa"/>
              <w:left w:w="108" w:type="dxa"/>
              <w:bottom w:w="0" w:type="dxa"/>
              <w:right w:w="108" w:type="dxa"/>
            </w:tcMar>
            <w:hideMark/>
          </w:tcPr>
          <w:p w:rsidR="002048E7" w:rsidRPr="002048E7" w:rsidRDefault="002048E7" w:rsidP="002048E7">
            <w:r w:rsidRPr="002048E7">
              <w:t>+/- 15° (horizontální) a +15° (vertikální)</w:t>
            </w:r>
          </w:p>
        </w:tc>
      </w:tr>
      <w:tr w:rsidR="002048E7" w:rsidRPr="002048E7">
        <w:trPr>
          <w:trHeight w:val="80"/>
        </w:trPr>
        <w:tc>
          <w:tcPr>
            <w:tcW w:w="0" w:type="auto"/>
            <w:tcMar>
              <w:top w:w="0" w:type="dxa"/>
              <w:left w:w="108" w:type="dxa"/>
              <w:bottom w:w="0" w:type="dxa"/>
              <w:right w:w="108" w:type="dxa"/>
            </w:tcMar>
            <w:hideMark/>
          </w:tcPr>
          <w:p w:rsidR="002048E7" w:rsidRPr="002048E7" w:rsidRDefault="002048E7" w:rsidP="002048E7">
            <w:r w:rsidRPr="002048E7">
              <w:t>životnost LED</w:t>
            </w:r>
          </w:p>
        </w:tc>
        <w:tc>
          <w:tcPr>
            <w:tcW w:w="0" w:type="auto"/>
            <w:tcMar>
              <w:top w:w="0" w:type="dxa"/>
              <w:left w:w="108" w:type="dxa"/>
              <w:bottom w:w="0" w:type="dxa"/>
              <w:right w:w="108" w:type="dxa"/>
            </w:tcMar>
            <w:hideMark/>
          </w:tcPr>
          <w:p w:rsidR="002048E7" w:rsidRPr="002048E7" w:rsidRDefault="002048E7" w:rsidP="002048E7">
            <w:r w:rsidRPr="002048E7">
              <w:t>pro L90 min. 70.000 hodin</w:t>
            </w:r>
          </w:p>
        </w:tc>
      </w:tr>
      <w:tr w:rsidR="002048E7" w:rsidRPr="002048E7">
        <w:trPr>
          <w:trHeight w:val="80"/>
        </w:trPr>
        <w:tc>
          <w:tcPr>
            <w:tcW w:w="0" w:type="auto"/>
            <w:tcMar>
              <w:top w:w="0" w:type="dxa"/>
              <w:left w:w="108" w:type="dxa"/>
              <w:bottom w:w="0" w:type="dxa"/>
              <w:right w:w="108" w:type="dxa"/>
            </w:tcMar>
            <w:hideMark/>
          </w:tcPr>
          <w:p w:rsidR="002048E7" w:rsidRPr="002048E7" w:rsidRDefault="002048E7" w:rsidP="002048E7">
            <w:r w:rsidRPr="002048E7">
              <w:t>záruční doba</w:t>
            </w:r>
          </w:p>
        </w:tc>
        <w:tc>
          <w:tcPr>
            <w:tcW w:w="0" w:type="auto"/>
            <w:tcMar>
              <w:top w:w="0" w:type="dxa"/>
              <w:left w:w="108" w:type="dxa"/>
              <w:bottom w:w="0" w:type="dxa"/>
              <w:right w:w="108" w:type="dxa"/>
            </w:tcMar>
            <w:hideMark/>
          </w:tcPr>
          <w:p w:rsidR="002048E7" w:rsidRPr="002048E7" w:rsidRDefault="002048E7" w:rsidP="002048E7">
            <w:r w:rsidRPr="002048E7">
              <w:t>min. 5 let</w:t>
            </w:r>
          </w:p>
          <w:tbl>
            <w:tblPr>
              <w:tblW w:w="0" w:type="auto"/>
              <w:tblCellMar>
                <w:left w:w="0" w:type="dxa"/>
                <w:right w:w="0" w:type="dxa"/>
              </w:tblCellMar>
              <w:tblLook w:val="04A0" w:firstRow="1" w:lastRow="0" w:firstColumn="1" w:lastColumn="0" w:noHBand="0" w:noVBand="1"/>
            </w:tblPr>
            <w:tblGrid>
              <w:gridCol w:w="222"/>
              <w:gridCol w:w="222"/>
            </w:tblGrid>
            <w:tr w:rsidR="002048E7" w:rsidRPr="002048E7">
              <w:trPr>
                <w:trHeight w:val="230"/>
              </w:trPr>
              <w:tc>
                <w:tcPr>
                  <w:tcW w:w="0" w:type="auto"/>
                  <w:tcMar>
                    <w:top w:w="0" w:type="dxa"/>
                    <w:left w:w="108" w:type="dxa"/>
                    <w:bottom w:w="0" w:type="dxa"/>
                    <w:right w:w="108" w:type="dxa"/>
                  </w:tcMar>
                </w:tcPr>
                <w:p w:rsidR="002048E7" w:rsidRPr="002048E7" w:rsidRDefault="002048E7" w:rsidP="002048E7"/>
              </w:tc>
              <w:tc>
                <w:tcPr>
                  <w:tcW w:w="0" w:type="auto"/>
                  <w:tcMar>
                    <w:top w:w="0" w:type="dxa"/>
                    <w:left w:w="108" w:type="dxa"/>
                    <w:bottom w:w="0" w:type="dxa"/>
                    <w:right w:w="108" w:type="dxa"/>
                  </w:tcMar>
                </w:tcPr>
                <w:p w:rsidR="002048E7" w:rsidRPr="002048E7" w:rsidRDefault="002048E7" w:rsidP="002048E7"/>
              </w:tc>
            </w:tr>
          </w:tbl>
          <w:p w:rsidR="002048E7" w:rsidRPr="002048E7" w:rsidRDefault="002048E7" w:rsidP="002048E7"/>
        </w:tc>
      </w:tr>
      <w:tr w:rsidR="002048E7" w:rsidRPr="002048E7">
        <w:trPr>
          <w:trHeight w:val="80"/>
        </w:trPr>
        <w:tc>
          <w:tcPr>
            <w:tcW w:w="0" w:type="auto"/>
            <w:tcMar>
              <w:top w:w="0" w:type="dxa"/>
              <w:left w:w="108" w:type="dxa"/>
              <w:bottom w:w="0" w:type="dxa"/>
              <w:right w:w="108" w:type="dxa"/>
            </w:tcMar>
            <w:hideMark/>
          </w:tcPr>
          <w:p w:rsidR="002048E7" w:rsidRPr="002048E7" w:rsidRDefault="002048E7" w:rsidP="002048E7">
            <w:r w:rsidRPr="002048E7">
              <w:t>konstrukce svítidla minimalizuje nároky na náhradní díly</w:t>
            </w:r>
          </w:p>
        </w:tc>
        <w:tc>
          <w:tcPr>
            <w:tcW w:w="0" w:type="auto"/>
            <w:tcMar>
              <w:top w:w="0" w:type="dxa"/>
              <w:left w:w="108" w:type="dxa"/>
              <w:bottom w:w="0" w:type="dxa"/>
              <w:right w:w="108" w:type="dxa"/>
            </w:tcMar>
            <w:hideMark/>
          </w:tcPr>
          <w:p w:rsidR="002048E7" w:rsidRPr="002048E7" w:rsidRDefault="002048E7" w:rsidP="002048E7">
            <w:r w:rsidRPr="002048E7">
              <w:t>zaručuje možnost definovaného servisu i 10 let po ukončení výroby</w:t>
            </w:r>
          </w:p>
        </w:tc>
      </w:tr>
    </w:tbl>
    <w:p w:rsidR="002048E7" w:rsidRPr="002048E7" w:rsidRDefault="002048E7" w:rsidP="002048E7"/>
    <w:p w:rsidR="002048E7" w:rsidRPr="002048E7" w:rsidRDefault="002048E7" w:rsidP="002048E7">
      <w:r w:rsidRPr="002048E7">
        <w:rPr>
          <w:b/>
          <w:bCs/>
        </w:rPr>
        <w:t>Barevné podání osvětlení</w:t>
      </w:r>
    </w:p>
    <w:p w:rsidR="002048E7" w:rsidRPr="002048E7" w:rsidRDefault="002048E7" w:rsidP="002048E7">
      <w:pPr>
        <w:numPr>
          <w:ilvl w:val="0"/>
          <w:numId w:val="1"/>
        </w:numPr>
      </w:pPr>
      <w:r w:rsidRPr="002048E7">
        <w:t>Pro jednotlivé části obce jsou stanoveny tyto požadavky na barevné podání veřejného osvětlení (náhradní teplotu chromatičnosti):</w:t>
      </w:r>
    </w:p>
    <w:tbl>
      <w:tblPr>
        <w:tblW w:w="0" w:type="auto"/>
        <w:tblInd w:w="-108" w:type="dxa"/>
        <w:tblCellMar>
          <w:left w:w="0" w:type="dxa"/>
          <w:right w:w="0" w:type="dxa"/>
        </w:tblCellMar>
        <w:tblLook w:val="04A0" w:firstRow="1" w:lastRow="0" w:firstColumn="1" w:lastColumn="0" w:noHBand="0" w:noVBand="1"/>
      </w:tblPr>
      <w:tblGrid>
        <w:gridCol w:w="2755"/>
        <w:gridCol w:w="3332"/>
        <w:gridCol w:w="3093"/>
      </w:tblGrid>
      <w:tr w:rsidR="002048E7" w:rsidRPr="002048E7">
        <w:trPr>
          <w:trHeight w:val="230"/>
        </w:trPr>
        <w:tc>
          <w:tcPr>
            <w:tcW w:w="0" w:type="auto"/>
            <w:tcMar>
              <w:top w:w="0" w:type="dxa"/>
              <w:left w:w="108" w:type="dxa"/>
              <w:bottom w:w="0" w:type="dxa"/>
              <w:right w:w="108" w:type="dxa"/>
            </w:tcMar>
            <w:hideMark/>
          </w:tcPr>
          <w:p w:rsidR="002048E7" w:rsidRPr="002048E7" w:rsidRDefault="002048E7" w:rsidP="002048E7">
            <w:r w:rsidRPr="002048E7">
              <w:t>Část obce</w:t>
            </w:r>
          </w:p>
        </w:tc>
        <w:tc>
          <w:tcPr>
            <w:tcW w:w="0" w:type="auto"/>
            <w:tcMar>
              <w:top w:w="0" w:type="dxa"/>
              <w:left w:w="108" w:type="dxa"/>
              <w:bottom w:w="0" w:type="dxa"/>
              <w:right w:w="108" w:type="dxa"/>
            </w:tcMar>
            <w:hideMark/>
          </w:tcPr>
          <w:p w:rsidR="002048E7" w:rsidRPr="002048E7" w:rsidRDefault="002048E7" w:rsidP="002048E7">
            <w:r w:rsidRPr="002048E7">
              <w:t>změna intenzity</w:t>
            </w:r>
          </w:p>
        </w:tc>
        <w:tc>
          <w:tcPr>
            <w:tcW w:w="0" w:type="auto"/>
            <w:tcMar>
              <w:top w:w="0" w:type="dxa"/>
              <w:left w:w="108" w:type="dxa"/>
              <w:bottom w:w="0" w:type="dxa"/>
              <w:right w:w="108" w:type="dxa"/>
            </w:tcMar>
            <w:hideMark/>
          </w:tcPr>
          <w:p w:rsidR="002048E7" w:rsidRPr="002048E7" w:rsidRDefault="002048E7" w:rsidP="002048E7">
            <w:r w:rsidRPr="002048E7">
              <w:t>náhradní teplota chromatičnosti</w:t>
            </w:r>
          </w:p>
        </w:tc>
      </w:tr>
      <w:tr w:rsidR="002048E7" w:rsidRPr="002048E7">
        <w:trPr>
          <w:trHeight w:val="230"/>
        </w:trPr>
        <w:tc>
          <w:tcPr>
            <w:tcW w:w="0" w:type="auto"/>
            <w:tcMar>
              <w:top w:w="0" w:type="dxa"/>
              <w:left w:w="108" w:type="dxa"/>
              <w:bottom w:w="0" w:type="dxa"/>
              <w:right w:w="108" w:type="dxa"/>
            </w:tcMar>
            <w:hideMark/>
          </w:tcPr>
          <w:p w:rsidR="002048E7" w:rsidRPr="002048E7" w:rsidRDefault="002048E7" w:rsidP="002048E7">
            <w:r w:rsidRPr="002048E7">
              <w:t>průjezdné komunikace</w:t>
            </w:r>
          </w:p>
        </w:tc>
        <w:tc>
          <w:tcPr>
            <w:tcW w:w="0" w:type="auto"/>
            <w:tcMar>
              <w:top w:w="0" w:type="dxa"/>
              <w:left w:w="108" w:type="dxa"/>
              <w:bottom w:w="0" w:type="dxa"/>
              <w:right w:w="108" w:type="dxa"/>
            </w:tcMar>
            <w:hideMark/>
          </w:tcPr>
          <w:p w:rsidR="002048E7" w:rsidRPr="002048E7" w:rsidRDefault="002048E7" w:rsidP="002048E7">
            <w:r w:rsidRPr="002048E7">
              <w:t>0 až 100% dle zatřídění komunikace</w:t>
            </w:r>
          </w:p>
        </w:tc>
        <w:tc>
          <w:tcPr>
            <w:tcW w:w="0" w:type="auto"/>
            <w:tcMar>
              <w:top w:w="0" w:type="dxa"/>
              <w:left w:w="108" w:type="dxa"/>
              <w:bottom w:w="0" w:type="dxa"/>
              <w:right w:w="108" w:type="dxa"/>
            </w:tcMar>
            <w:hideMark/>
          </w:tcPr>
          <w:p w:rsidR="002048E7" w:rsidRPr="002048E7" w:rsidRDefault="002048E7" w:rsidP="002048E7">
            <w:r w:rsidRPr="002048E7">
              <w:t>2000 - 4000 K</w:t>
            </w:r>
          </w:p>
        </w:tc>
      </w:tr>
      <w:tr w:rsidR="002048E7" w:rsidRPr="002048E7">
        <w:trPr>
          <w:trHeight w:val="230"/>
        </w:trPr>
        <w:tc>
          <w:tcPr>
            <w:tcW w:w="0" w:type="auto"/>
            <w:tcMar>
              <w:top w:w="0" w:type="dxa"/>
              <w:left w:w="108" w:type="dxa"/>
              <w:bottom w:w="0" w:type="dxa"/>
              <w:right w:w="108" w:type="dxa"/>
            </w:tcMar>
            <w:hideMark/>
          </w:tcPr>
          <w:p w:rsidR="002048E7" w:rsidRPr="002048E7" w:rsidRDefault="002048E7" w:rsidP="002048E7">
            <w:r w:rsidRPr="002048E7">
              <w:t>přechod pro pěší(osvětlený)</w:t>
            </w:r>
          </w:p>
        </w:tc>
        <w:tc>
          <w:tcPr>
            <w:tcW w:w="0" w:type="auto"/>
            <w:tcMar>
              <w:top w:w="0" w:type="dxa"/>
              <w:left w:w="108" w:type="dxa"/>
              <w:bottom w:w="0" w:type="dxa"/>
              <w:right w:w="108" w:type="dxa"/>
            </w:tcMar>
            <w:hideMark/>
          </w:tcPr>
          <w:p w:rsidR="002048E7" w:rsidRPr="002048E7" w:rsidRDefault="002048E7" w:rsidP="002048E7">
            <w:r w:rsidRPr="002048E7">
              <w:t>0 až 100% dle zatřídění komunikace</w:t>
            </w:r>
          </w:p>
        </w:tc>
        <w:tc>
          <w:tcPr>
            <w:tcW w:w="0" w:type="auto"/>
            <w:tcMar>
              <w:top w:w="0" w:type="dxa"/>
              <w:left w:w="108" w:type="dxa"/>
              <w:bottom w:w="0" w:type="dxa"/>
              <w:right w:w="108" w:type="dxa"/>
            </w:tcMar>
            <w:hideMark/>
          </w:tcPr>
          <w:p w:rsidR="002048E7" w:rsidRPr="002048E7" w:rsidRDefault="002048E7" w:rsidP="002048E7">
            <w:r w:rsidRPr="002048E7">
              <w:t>4000 - 6000 K</w:t>
            </w:r>
          </w:p>
        </w:tc>
      </w:tr>
      <w:tr w:rsidR="002048E7" w:rsidRPr="002048E7">
        <w:trPr>
          <w:trHeight w:val="230"/>
        </w:trPr>
        <w:tc>
          <w:tcPr>
            <w:tcW w:w="0" w:type="auto"/>
            <w:tcMar>
              <w:top w:w="0" w:type="dxa"/>
              <w:left w:w="108" w:type="dxa"/>
              <w:bottom w:w="0" w:type="dxa"/>
              <w:right w:w="108" w:type="dxa"/>
            </w:tcMar>
            <w:hideMark/>
          </w:tcPr>
          <w:p w:rsidR="002048E7" w:rsidRPr="002048E7" w:rsidRDefault="002048E7" w:rsidP="002048E7">
            <w:r w:rsidRPr="002048E7">
              <w:t>průmyslová oblast</w:t>
            </w:r>
          </w:p>
        </w:tc>
        <w:tc>
          <w:tcPr>
            <w:tcW w:w="0" w:type="auto"/>
            <w:tcMar>
              <w:top w:w="0" w:type="dxa"/>
              <w:left w:w="108" w:type="dxa"/>
              <w:bottom w:w="0" w:type="dxa"/>
              <w:right w:w="108" w:type="dxa"/>
            </w:tcMar>
            <w:hideMark/>
          </w:tcPr>
          <w:p w:rsidR="002048E7" w:rsidRPr="002048E7" w:rsidRDefault="002048E7" w:rsidP="002048E7">
            <w:r w:rsidRPr="002048E7">
              <w:t>0 až 100% dle zatřídění komunikace</w:t>
            </w:r>
          </w:p>
        </w:tc>
        <w:tc>
          <w:tcPr>
            <w:tcW w:w="0" w:type="auto"/>
            <w:tcMar>
              <w:top w:w="0" w:type="dxa"/>
              <w:left w:w="108" w:type="dxa"/>
              <w:bottom w:w="0" w:type="dxa"/>
              <w:right w:w="108" w:type="dxa"/>
            </w:tcMar>
            <w:hideMark/>
          </w:tcPr>
          <w:p w:rsidR="002048E7" w:rsidRPr="002048E7" w:rsidRDefault="002048E7" w:rsidP="002048E7">
            <w:r w:rsidRPr="002048E7">
              <w:t>2000 - 4000 K</w:t>
            </w:r>
          </w:p>
        </w:tc>
      </w:tr>
      <w:tr w:rsidR="002048E7" w:rsidRPr="002048E7">
        <w:trPr>
          <w:trHeight w:val="230"/>
        </w:trPr>
        <w:tc>
          <w:tcPr>
            <w:tcW w:w="0" w:type="auto"/>
            <w:tcMar>
              <w:top w:w="0" w:type="dxa"/>
              <w:left w:w="108" w:type="dxa"/>
              <w:bottom w:w="0" w:type="dxa"/>
              <w:right w:w="108" w:type="dxa"/>
            </w:tcMar>
            <w:hideMark/>
          </w:tcPr>
          <w:p w:rsidR="002048E7" w:rsidRPr="002048E7" w:rsidRDefault="002048E7" w:rsidP="002048E7">
            <w:r w:rsidRPr="002048E7">
              <w:t>rezidenční oblast</w:t>
            </w:r>
          </w:p>
        </w:tc>
        <w:tc>
          <w:tcPr>
            <w:tcW w:w="0" w:type="auto"/>
            <w:tcMar>
              <w:top w:w="0" w:type="dxa"/>
              <w:left w:w="108" w:type="dxa"/>
              <w:bottom w:w="0" w:type="dxa"/>
              <w:right w:w="108" w:type="dxa"/>
            </w:tcMar>
            <w:hideMark/>
          </w:tcPr>
          <w:p w:rsidR="002048E7" w:rsidRPr="002048E7" w:rsidRDefault="002048E7" w:rsidP="002048E7">
            <w:r w:rsidRPr="002048E7">
              <w:t>0 až 100% dle zatřídění komunikace</w:t>
            </w:r>
          </w:p>
        </w:tc>
        <w:tc>
          <w:tcPr>
            <w:tcW w:w="0" w:type="auto"/>
            <w:tcMar>
              <w:top w:w="0" w:type="dxa"/>
              <w:left w:w="108" w:type="dxa"/>
              <w:bottom w:w="0" w:type="dxa"/>
              <w:right w:w="108" w:type="dxa"/>
            </w:tcMar>
            <w:hideMark/>
          </w:tcPr>
          <w:p w:rsidR="002048E7" w:rsidRPr="002048E7" w:rsidRDefault="002048E7" w:rsidP="002048E7">
            <w:r w:rsidRPr="002048E7">
              <w:t>1800 K</w:t>
            </w:r>
          </w:p>
        </w:tc>
      </w:tr>
      <w:tr w:rsidR="002048E7" w:rsidRPr="002048E7">
        <w:trPr>
          <w:trHeight w:val="230"/>
        </w:trPr>
        <w:tc>
          <w:tcPr>
            <w:tcW w:w="0" w:type="auto"/>
            <w:tcMar>
              <w:top w:w="0" w:type="dxa"/>
              <w:left w:w="108" w:type="dxa"/>
              <w:bottom w:w="0" w:type="dxa"/>
              <w:right w:w="108" w:type="dxa"/>
            </w:tcMar>
            <w:hideMark/>
          </w:tcPr>
          <w:p w:rsidR="002048E7" w:rsidRPr="002048E7" w:rsidRDefault="002048E7" w:rsidP="002048E7">
            <w:r w:rsidRPr="002048E7">
              <w:t>parky a historické části obce</w:t>
            </w:r>
          </w:p>
        </w:tc>
        <w:tc>
          <w:tcPr>
            <w:tcW w:w="0" w:type="auto"/>
            <w:tcMar>
              <w:top w:w="0" w:type="dxa"/>
              <w:left w:w="108" w:type="dxa"/>
              <w:bottom w:w="0" w:type="dxa"/>
              <w:right w:w="108" w:type="dxa"/>
            </w:tcMar>
            <w:hideMark/>
          </w:tcPr>
          <w:p w:rsidR="002048E7" w:rsidRPr="002048E7" w:rsidRDefault="002048E7" w:rsidP="002048E7">
            <w:r w:rsidRPr="002048E7">
              <w:t>0 až 100% dle zatřídění komunikace</w:t>
            </w:r>
          </w:p>
        </w:tc>
        <w:tc>
          <w:tcPr>
            <w:tcW w:w="0" w:type="auto"/>
            <w:tcMar>
              <w:top w:w="0" w:type="dxa"/>
              <w:left w:w="108" w:type="dxa"/>
              <w:bottom w:w="0" w:type="dxa"/>
              <w:right w:w="108" w:type="dxa"/>
            </w:tcMar>
            <w:hideMark/>
          </w:tcPr>
          <w:p w:rsidR="002048E7" w:rsidRPr="002048E7" w:rsidRDefault="002048E7" w:rsidP="002048E7">
            <w:r w:rsidRPr="002048E7">
              <w:t>dle záměru investora</w:t>
            </w:r>
          </w:p>
        </w:tc>
      </w:tr>
    </w:tbl>
    <w:p w:rsidR="002048E7" w:rsidRPr="002048E7" w:rsidRDefault="002048E7" w:rsidP="002048E7"/>
    <w:p w:rsidR="002048E7" w:rsidRPr="002048E7" w:rsidRDefault="002048E7" w:rsidP="002048E7">
      <w:r w:rsidRPr="002048E7">
        <w:rPr>
          <w:b/>
          <w:bCs/>
        </w:rPr>
        <w:t>Uliční technická svítidla</w:t>
      </w:r>
    </w:p>
    <w:p w:rsidR="002048E7" w:rsidRPr="002048E7" w:rsidRDefault="002048E7" w:rsidP="002048E7">
      <w:r w:rsidRPr="002048E7">
        <w:t xml:space="preserve">Na svítidla jsou kladeny následující požadavky: </w:t>
      </w:r>
    </w:p>
    <w:p w:rsidR="002048E7" w:rsidRPr="002048E7" w:rsidRDefault="002048E7" w:rsidP="002048E7">
      <w:pPr>
        <w:numPr>
          <w:ilvl w:val="0"/>
          <w:numId w:val="1"/>
        </w:numPr>
      </w:pPr>
      <w:r w:rsidRPr="002048E7">
        <w:t xml:space="preserve">Musí být uzpůsobeno pro montáž na dřík stožáru průměru 60 i 76 mm nebo výložník průměru 60 mm. Je přípustné použití homologované redukce. </w:t>
      </w:r>
    </w:p>
    <w:p w:rsidR="002048E7" w:rsidRPr="002048E7" w:rsidRDefault="002048E7" w:rsidP="002048E7">
      <w:pPr>
        <w:numPr>
          <w:ilvl w:val="0"/>
          <w:numId w:val="1"/>
        </w:numPr>
      </w:pPr>
      <w:r w:rsidRPr="002048E7">
        <w:t xml:space="preserve">Musí být možnost nastavení sklonu svítidla plynule nebo v několika stupních v rozsahu 0÷15°. </w:t>
      </w:r>
    </w:p>
    <w:p w:rsidR="002048E7" w:rsidRPr="002048E7" w:rsidRDefault="002048E7" w:rsidP="002048E7">
      <w:pPr>
        <w:numPr>
          <w:ilvl w:val="0"/>
          <w:numId w:val="1"/>
        </w:numPr>
      </w:pPr>
      <w:r w:rsidRPr="002048E7">
        <w:t xml:space="preserve">Materiál tělesa svítidla je přednostně odlitek z tlakově litého hliníku. </w:t>
      </w:r>
    </w:p>
    <w:p w:rsidR="002048E7" w:rsidRPr="002048E7" w:rsidRDefault="002048E7" w:rsidP="002048E7">
      <w:pPr>
        <w:numPr>
          <w:ilvl w:val="0"/>
          <w:numId w:val="1"/>
        </w:numPr>
      </w:pPr>
      <w:r w:rsidRPr="002048E7">
        <w:lastRenderedPageBreak/>
        <w:t xml:space="preserve">Jako materiál krytí vyzařovací plochy se upřednostňuje PMMA, v oblastech s rizikem vandalismu PC. Přípustné je i tvrzené sklo v případě, že se tím nesníží kvalita osvětlení oproti plastovému provedení. </w:t>
      </w:r>
    </w:p>
    <w:p w:rsidR="002048E7" w:rsidRPr="002048E7" w:rsidRDefault="002048E7" w:rsidP="002048E7">
      <w:pPr>
        <w:numPr>
          <w:ilvl w:val="0"/>
          <w:numId w:val="1"/>
        </w:numPr>
      </w:pPr>
      <w:r w:rsidRPr="002048E7">
        <w:t xml:space="preserve">Materiál reflektoru musí zajišťovat dlouhodobě mechanickou stabilitu a stálou odraznost světla. </w:t>
      </w:r>
    </w:p>
    <w:p w:rsidR="002048E7" w:rsidRPr="002048E7" w:rsidRDefault="002048E7" w:rsidP="002048E7">
      <w:pPr>
        <w:numPr>
          <w:ilvl w:val="0"/>
          <w:numId w:val="1"/>
        </w:numPr>
      </w:pPr>
      <w:r w:rsidRPr="002048E7">
        <w:t xml:space="preserve">Minimální krytí optické části IP64, </w:t>
      </w:r>
      <w:proofErr w:type="spellStart"/>
      <w:r w:rsidRPr="002048E7">
        <w:t>elektrobloku</w:t>
      </w:r>
      <w:proofErr w:type="spellEnd"/>
      <w:r w:rsidRPr="002048E7">
        <w:t xml:space="preserve"> IP43. </w:t>
      </w:r>
    </w:p>
    <w:p w:rsidR="002048E7" w:rsidRPr="002048E7" w:rsidRDefault="002048E7" w:rsidP="002048E7">
      <w:pPr>
        <w:numPr>
          <w:ilvl w:val="0"/>
          <w:numId w:val="1"/>
        </w:numPr>
      </w:pPr>
      <w:r w:rsidRPr="002048E7">
        <w:t xml:space="preserve">V oblastech s rizikem vandalismu je požadována odolnost vůči mechanickému poškození nejméně IK09. </w:t>
      </w:r>
    </w:p>
    <w:p w:rsidR="002048E7" w:rsidRPr="002048E7" w:rsidRDefault="002048E7" w:rsidP="002048E7">
      <w:pPr>
        <w:numPr>
          <w:ilvl w:val="0"/>
          <w:numId w:val="1"/>
        </w:numPr>
      </w:pPr>
      <w:r w:rsidRPr="002048E7">
        <w:t xml:space="preserve">U svítidel, u kterých to má vliv na funkci svítidla, musí být optická část (reflektor, světelný zdroj, mísa) provázána s okolním prostředím jednocestným filtrem umožňujícím prostup vlhkosti ze svítidla a bránící proniknutí vlhkosti a pevných částic dovnitř optické části. </w:t>
      </w:r>
    </w:p>
    <w:p w:rsidR="002048E7" w:rsidRPr="002048E7" w:rsidRDefault="002048E7" w:rsidP="002048E7">
      <w:pPr>
        <w:numPr>
          <w:ilvl w:val="0"/>
          <w:numId w:val="1"/>
        </w:numPr>
      </w:pPr>
      <w:r w:rsidRPr="002048E7">
        <w:t xml:space="preserve">Doporučuje se provedení, které umožní otevření svítidla pro potřebu údržby a výměny světelného zdroje bez použití nářadí. Doporučuje se, aby také výměna mísy nebo </w:t>
      </w:r>
      <w:proofErr w:type="spellStart"/>
      <w:r w:rsidRPr="002048E7">
        <w:t>elektrobloku</w:t>
      </w:r>
      <w:proofErr w:type="spellEnd"/>
      <w:r w:rsidRPr="002048E7">
        <w:t xml:space="preserve"> byla možná bez použití nářadí. </w:t>
      </w:r>
    </w:p>
    <w:p w:rsidR="002048E7" w:rsidRPr="002048E7" w:rsidRDefault="002048E7" w:rsidP="002048E7">
      <w:pPr>
        <w:numPr>
          <w:ilvl w:val="0"/>
          <w:numId w:val="1"/>
        </w:numPr>
      </w:pPr>
      <w:r w:rsidRPr="002048E7">
        <w:t xml:space="preserve">Jakákoliv část svítidla, která se otvírá při montáži nebo údržbě (kryt optické nebo elektrické části, mísa) musí být spojena se svítidlem tak, aby nebylo nutné ji zajišťovat (např. odložením na pracovní plošinu). Doporučuje se, aby v případě potřeby bylo možné kteroukoliv část svítidla oddělit bez použití nástrojů (např. výměna poškozeného dílu). </w:t>
      </w:r>
    </w:p>
    <w:p w:rsidR="002048E7" w:rsidRPr="002048E7" w:rsidRDefault="002048E7" w:rsidP="002048E7">
      <w:pPr>
        <w:numPr>
          <w:ilvl w:val="0"/>
          <w:numId w:val="1"/>
        </w:numPr>
      </w:pPr>
      <w:r w:rsidRPr="002048E7">
        <w:t xml:space="preserve">Při otevření části s </w:t>
      </w:r>
      <w:proofErr w:type="spellStart"/>
      <w:r w:rsidRPr="002048E7">
        <w:t>elektroblokem</w:t>
      </w:r>
      <w:proofErr w:type="spellEnd"/>
      <w:r w:rsidRPr="002048E7">
        <w:t xml:space="preserve"> se automaticky odpojí napájení svítidla. </w:t>
      </w:r>
    </w:p>
    <w:p w:rsidR="002048E7" w:rsidRPr="002048E7" w:rsidRDefault="002048E7" w:rsidP="002048E7">
      <w:pPr>
        <w:numPr>
          <w:ilvl w:val="0"/>
          <w:numId w:val="1"/>
        </w:numPr>
      </w:pPr>
      <w:r w:rsidRPr="002048E7">
        <w:t>Svítidlo by mělo umožňovat různé nastavení optiky (např. změnami vzájemné pozice světelného zdroje a reflektoru, výměnou čoček, apod.) tak, aby bylo možné</w:t>
      </w:r>
    </w:p>
    <w:p w:rsidR="002048E7" w:rsidRPr="002048E7" w:rsidRDefault="002048E7" w:rsidP="002048E7">
      <w:r w:rsidRPr="002048E7">
        <w:t xml:space="preserve">            přizpůsobit směrování světla podle potřeby v určitém místě (např. přisvětlení chodníku, zálivu zastávky MHD, parkovacího pruhu). Od tohoto požadavku lze, se souhlasem správce VO, ustoupit v      lokalitách, kde by se této vlastnosti nevyužilo. </w:t>
      </w:r>
    </w:p>
    <w:p w:rsidR="002048E7" w:rsidRDefault="002048E7" w:rsidP="002048E7">
      <w:pPr>
        <w:numPr>
          <w:ilvl w:val="0"/>
          <w:numId w:val="1"/>
        </w:numPr>
      </w:pPr>
      <w:r w:rsidRPr="002048E7">
        <w:t>V místech s bezpečnostními kamerami se musí osvětlovací soustavy řešit tak, aby nedošlo ke snížení kvality videozáznamu pod přijatelnou mez. Například je nutné vyloučit přímé světlo dopadající na objektiv kamery.</w:t>
      </w:r>
    </w:p>
    <w:p w:rsidR="00837A03" w:rsidRDefault="00837A03" w:rsidP="00837A03"/>
    <w:p w:rsidR="00837A03" w:rsidRPr="002048E7" w:rsidRDefault="00837A03" w:rsidP="00837A03">
      <w:r>
        <w:rPr>
          <w:noProof/>
          <w:lang w:eastAsia="cs-CZ"/>
        </w:rPr>
        <w:lastRenderedPageBreak/>
        <w:drawing>
          <wp:inline distT="0" distB="0" distL="0" distR="0" wp14:anchorId="3B8688EA" wp14:editId="3C9A50DD">
            <wp:extent cx="5760720" cy="4416425"/>
            <wp:effectExtent l="0" t="0" r="0" b="317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60720" cy="4416425"/>
                    </a:xfrm>
                    <a:prstGeom prst="rect">
                      <a:avLst/>
                    </a:prstGeom>
                  </pic:spPr>
                </pic:pic>
              </a:graphicData>
            </a:graphic>
          </wp:inline>
        </w:drawing>
      </w:r>
    </w:p>
    <w:bookmarkEnd w:id="0"/>
    <w:p w:rsidR="004259BB" w:rsidRDefault="004259BB"/>
    <w:sectPr w:rsidR="004259B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9545889"/>
    <w:multiLevelType w:val="hybridMultilevel"/>
    <w:tmpl w:val="22629242"/>
    <w:lvl w:ilvl="0" w:tplc="ECA625DE">
      <w:numFmt w:val="bullet"/>
      <w:lvlText w:val="-"/>
      <w:lvlJc w:val="left"/>
      <w:pPr>
        <w:ind w:left="720" w:hanging="360"/>
      </w:pPr>
      <w:rPr>
        <w:rFonts w:ascii="Calibri" w:eastAsia="Calibr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48E7"/>
    <w:rsid w:val="002048E7"/>
    <w:rsid w:val="004259BB"/>
    <w:rsid w:val="00837A03"/>
    <w:rsid w:val="00950835"/>
    <w:rsid w:val="00A0770F"/>
    <w:rsid w:val="00BC13F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35F6A3"/>
  <w15:chartTrackingRefBased/>
  <w15:docId w15:val="{092D2D5E-8230-4A58-B3CD-5CC20D1339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cs-CZ" w:eastAsia="en-US" w:bidi="ar-SA"/>
        <w14:ligatures w14:val="standardContextual"/>
      </w:rPr>
    </w:rPrDefault>
    <w:pPrDefault>
      <w:pPr>
        <w:spacing w:after="160" w:line="27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paragraph" w:styleId="Nadpis1">
    <w:name w:val="heading 1"/>
    <w:basedOn w:val="Normln"/>
    <w:next w:val="Normln"/>
    <w:link w:val="Nadpis1Char"/>
    <w:uiPriority w:val="9"/>
    <w:qFormat/>
    <w:rsid w:val="002048E7"/>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Nadpis2">
    <w:name w:val="heading 2"/>
    <w:basedOn w:val="Normln"/>
    <w:next w:val="Normln"/>
    <w:link w:val="Nadpis2Char"/>
    <w:uiPriority w:val="9"/>
    <w:semiHidden/>
    <w:unhideWhenUsed/>
    <w:qFormat/>
    <w:rsid w:val="002048E7"/>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Nadpis3">
    <w:name w:val="heading 3"/>
    <w:basedOn w:val="Normln"/>
    <w:next w:val="Normln"/>
    <w:link w:val="Nadpis3Char"/>
    <w:uiPriority w:val="9"/>
    <w:semiHidden/>
    <w:unhideWhenUsed/>
    <w:qFormat/>
    <w:rsid w:val="002048E7"/>
    <w:pPr>
      <w:keepNext/>
      <w:keepLines/>
      <w:spacing w:before="160" w:after="80"/>
      <w:outlineLvl w:val="2"/>
    </w:pPr>
    <w:rPr>
      <w:rFonts w:eastAsiaTheme="majorEastAsia" w:cstheme="majorBidi"/>
      <w:color w:val="2F5496" w:themeColor="accent1" w:themeShade="BF"/>
      <w:sz w:val="28"/>
      <w:szCs w:val="28"/>
    </w:rPr>
  </w:style>
  <w:style w:type="paragraph" w:styleId="Nadpis4">
    <w:name w:val="heading 4"/>
    <w:basedOn w:val="Normln"/>
    <w:next w:val="Normln"/>
    <w:link w:val="Nadpis4Char"/>
    <w:uiPriority w:val="9"/>
    <w:semiHidden/>
    <w:unhideWhenUsed/>
    <w:qFormat/>
    <w:rsid w:val="002048E7"/>
    <w:pPr>
      <w:keepNext/>
      <w:keepLines/>
      <w:spacing w:before="80" w:after="40"/>
      <w:outlineLvl w:val="3"/>
    </w:pPr>
    <w:rPr>
      <w:rFonts w:eastAsiaTheme="majorEastAsia" w:cstheme="majorBidi"/>
      <w:i/>
      <w:iCs/>
      <w:color w:val="2F5496" w:themeColor="accent1" w:themeShade="BF"/>
    </w:rPr>
  </w:style>
  <w:style w:type="paragraph" w:styleId="Nadpis5">
    <w:name w:val="heading 5"/>
    <w:basedOn w:val="Normln"/>
    <w:next w:val="Normln"/>
    <w:link w:val="Nadpis5Char"/>
    <w:uiPriority w:val="9"/>
    <w:semiHidden/>
    <w:unhideWhenUsed/>
    <w:qFormat/>
    <w:rsid w:val="002048E7"/>
    <w:pPr>
      <w:keepNext/>
      <w:keepLines/>
      <w:spacing w:before="80" w:after="40"/>
      <w:outlineLvl w:val="4"/>
    </w:pPr>
    <w:rPr>
      <w:rFonts w:eastAsiaTheme="majorEastAsia" w:cstheme="majorBidi"/>
      <w:color w:val="2F5496" w:themeColor="accent1" w:themeShade="BF"/>
    </w:rPr>
  </w:style>
  <w:style w:type="paragraph" w:styleId="Nadpis6">
    <w:name w:val="heading 6"/>
    <w:basedOn w:val="Normln"/>
    <w:next w:val="Normln"/>
    <w:link w:val="Nadpis6Char"/>
    <w:uiPriority w:val="9"/>
    <w:semiHidden/>
    <w:unhideWhenUsed/>
    <w:qFormat/>
    <w:rsid w:val="002048E7"/>
    <w:pPr>
      <w:keepNext/>
      <w:keepLines/>
      <w:spacing w:before="40" w:after="0"/>
      <w:outlineLvl w:val="5"/>
    </w:pPr>
    <w:rPr>
      <w:rFonts w:eastAsiaTheme="majorEastAsia" w:cstheme="majorBidi"/>
      <w:i/>
      <w:iCs/>
      <w:color w:val="595959" w:themeColor="text1" w:themeTint="A6"/>
    </w:rPr>
  </w:style>
  <w:style w:type="paragraph" w:styleId="Nadpis7">
    <w:name w:val="heading 7"/>
    <w:basedOn w:val="Normln"/>
    <w:next w:val="Normln"/>
    <w:link w:val="Nadpis7Char"/>
    <w:uiPriority w:val="9"/>
    <w:semiHidden/>
    <w:unhideWhenUsed/>
    <w:qFormat/>
    <w:rsid w:val="002048E7"/>
    <w:pPr>
      <w:keepNext/>
      <w:keepLines/>
      <w:spacing w:before="40" w:after="0"/>
      <w:outlineLvl w:val="6"/>
    </w:pPr>
    <w:rPr>
      <w:rFonts w:eastAsiaTheme="majorEastAsia" w:cstheme="majorBidi"/>
      <w:color w:val="595959" w:themeColor="text1" w:themeTint="A6"/>
    </w:rPr>
  </w:style>
  <w:style w:type="paragraph" w:styleId="Nadpis8">
    <w:name w:val="heading 8"/>
    <w:basedOn w:val="Normln"/>
    <w:next w:val="Normln"/>
    <w:link w:val="Nadpis8Char"/>
    <w:uiPriority w:val="9"/>
    <w:semiHidden/>
    <w:unhideWhenUsed/>
    <w:qFormat/>
    <w:rsid w:val="002048E7"/>
    <w:pPr>
      <w:keepNext/>
      <w:keepLines/>
      <w:spacing w:after="0"/>
      <w:outlineLvl w:val="7"/>
    </w:pPr>
    <w:rPr>
      <w:rFonts w:eastAsiaTheme="majorEastAsia" w:cstheme="majorBidi"/>
      <w:i/>
      <w:iCs/>
      <w:color w:val="272727" w:themeColor="text1" w:themeTint="D8"/>
    </w:rPr>
  </w:style>
  <w:style w:type="paragraph" w:styleId="Nadpis9">
    <w:name w:val="heading 9"/>
    <w:basedOn w:val="Normln"/>
    <w:next w:val="Normln"/>
    <w:link w:val="Nadpis9Char"/>
    <w:uiPriority w:val="9"/>
    <w:semiHidden/>
    <w:unhideWhenUsed/>
    <w:qFormat/>
    <w:rsid w:val="002048E7"/>
    <w:pPr>
      <w:keepNext/>
      <w:keepLines/>
      <w:spacing w:after="0"/>
      <w:outlineLvl w:val="8"/>
    </w:pPr>
    <w:rPr>
      <w:rFonts w:eastAsiaTheme="majorEastAsia" w:cstheme="majorBidi"/>
      <w:color w:val="272727" w:themeColor="text1" w:themeTint="D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2048E7"/>
    <w:rPr>
      <w:rFonts w:asciiTheme="majorHAnsi" w:eastAsiaTheme="majorEastAsia" w:hAnsiTheme="majorHAnsi" w:cstheme="majorBidi"/>
      <w:color w:val="2F5496" w:themeColor="accent1" w:themeShade="BF"/>
      <w:sz w:val="40"/>
      <w:szCs w:val="40"/>
    </w:rPr>
  </w:style>
  <w:style w:type="character" w:customStyle="1" w:styleId="Nadpis2Char">
    <w:name w:val="Nadpis 2 Char"/>
    <w:basedOn w:val="Standardnpsmoodstavce"/>
    <w:link w:val="Nadpis2"/>
    <w:uiPriority w:val="9"/>
    <w:semiHidden/>
    <w:rsid w:val="002048E7"/>
    <w:rPr>
      <w:rFonts w:asciiTheme="majorHAnsi" w:eastAsiaTheme="majorEastAsia" w:hAnsiTheme="majorHAnsi" w:cstheme="majorBidi"/>
      <w:color w:val="2F5496" w:themeColor="accent1" w:themeShade="BF"/>
      <w:sz w:val="32"/>
      <w:szCs w:val="32"/>
    </w:rPr>
  </w:style>
  <w:style w:type="character" w:customStyle="1" w:styleId="Nadpis3Char">
    <w:name w:val="Nadpis 3 Char"/>
    <w:basedOn w:val="Standardnpsmoodstavce"/>
    <w:link w:val="Nadpis3"/>
    <w:uiPriority w:val="9"/>
    <w:semiHidden/>
    <w:rsid w:val="002048E7"/>
    <w:rPr>
      <w:rFonts w:eastAsiaTheme="majorEastAsia" w:cstheme="majorBidi"/>
      <w:color w:val="2F5496" w:themeColor="accent1" w:themeShade="BF"/>
      <w:sz w:val="28"/>
      <w:szCs w:val="28"/>
    </w:rPr>
  </w:style>
  <w:style w:type="character" w:customStyle="1" w:styleId="Nadpis4Char">
    <w:name w:val="Nadpis 4 Char"/>
    <w:basedOn w:val="Standardnpsmoodstavce"/>
    <w:link w:val="Nadpis4"/>
    <w:uiPriority w:val="9"/>
    <w:semiHidden/>
    <w:rsid w:val="002048E7"/>
    <w:rPr>
      <w:rFonts w:eastAsiaTheme="majorEastAsia" w:cstheme="majorBidi"/>
      <w:i/>
      <w:iCs/>
      <w:color w:val="2F5496" w:themeColor="accent1" w:themeShade="BF"/>
    </w:rPr>
  </w:style>
  <w:style w:type="character" w:customStyle="1" w:styleId="Nadpis5Char">
    <w:name w:val="Nadpis 5 Char"/>
    <w:basedOn w:val="Standardnpsmoodstavce"/>
    <w:link w:val="Nadpis5"/>
    <w:uiPriority w:val="9"/>
    <w:semiHidden/>
    <w:rsid w:val="002048E7"/>
    <w:rPr>
      <w:rFonts w:eastAsiaTheme="majorEastAsia" w:cstheme="majorBidi"/>
      <w:color w:val="2F5496" w:themeColor="accent1" w:themeShade="BF"/>
    </w:rPr>
  </w:style>
  <w:style w:type="character" w:customStyle="1" w:styleId="Nadpis6Char">
    <w:name w:val="Nadpis 6 Char"/>
    <w:basedOn w:val="Standardnpsmoodstavce"/>
    <w:link w:val="Nadpis6"/>
    <w:uiPriority w:val="9"/>
    <w:semiHidden/>
    <w:rsid w:val="002048E7"/>
    <w:rPr>
      <w:rFonts w:eastAsiaTheme="majorEastAsia" w:cstheme="majorBidi"/>
      <w:i/>
      <w:iCs/>
      <w:color w:val="595959" w:themeColor="text1" w:themeTint="A6"/>
    </w:rPr>
  </w:style>
  <w:style w:type="character" w:customStyle="1" w:styleId="Nadpis7Char">
    <w:name w:val="Nadpis 7 Char"/>
    <w:basedOn w:val="Standardnpsmoodstavce"/>
    <w:link w:val="Nadpis7"/>
    <w:uiPriority w:val="9"/>
    <w:semiHidden/>
    <w:rsid w:val="002048E7"/>
    <w:rPr>
      <w:rFonts w:eastAsiaTheme="majorEastAsia" w:cstheme="majorBidi"/>
      <w:color w:val="595959" w:themeColor="text1" w:themeTint="A6"/>
    </w:rPr>
  </w:style>
  <w:style w:type="character" w:customStyle="1" w:styleId="Nadpis8Char">
    <w:name w:val="Nadpis 8 Char"/>
    <w:basedOn w:val="Standardnpsmoodstavce"/>
    <w:link w:val="Nadpis8"/>
    <w:uiPriority w:val="9"/>
    <w:semiHidden/>
    <w:rsid w:val="002048E7"/>
    <w:rPr>
      <w:rFonts w:eastAsiaTheme="majorEastAsia" w:cstheme="majorBidi"/>
      <w:i/>
      <w:iCs/>
      <w:color w:val="272727" w:themeColor="text1" w:themeTint="D8"/>
    </w:rPr>
  </w:style>
  <w:style w:type="character" w:customStyle="1" w:styleId="Nadpis9Char">
    <w:name w:val="Nadpis 9 Char"/>
    <w:basedOn w:val="Standardnpsmoodstavce"/>
    <w:link w:val="Nadpis9"/>
    <w:uiPriority w:val="9"/>
    <w:semiHidden/>
    <w:rsid w:val="002048E7"/>
    <w:rPr>
      <w:rFonts w:eastAsiaTheme="majorEastAsia" w:cstheme="majorBidi"/>
      <w:color w:val="272727" w:themeColor="text1" w:themeTint="D8"/>
    </w:rPr>
  </w:style>
  <w:style w:type="paragraph" w:styleId="Nzev">
    <w:name w:val="Title"/>
    <w:basedOn w:val="Normln"/>
    <w:next w:val="Normln"/>
    <w:link w:val="NzevChar"/>
    <w:uiPriority w:val="10"/>
    <w:qFormat/>
    <w:rsid w:val="002048E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2048E7"/>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2048E7"/>
    <w:pPr>
      <w:numPr>
        <w:ilvl w:val="1"/>
      </w:numPr>
    </w:pPr>
    <w:rPr>
      <w:rFonts w:eastAsiaTheme="majorEastAsia" w:cstheme="majorBidi"/>
      <w:color w:val="595959" w:themeColor="text1" w:themeTint="A6"/>
      <w:spacing w:val="15"/>
      <w:sz w:val="28"/>
      <w:szCs w:val="28"/>
    </w:rPr>
  </w:style>
  <w:style w:type="character" w:customStyle="1" w:styleId="PodnadpisChar">
    <w:name w:val="Podnadpis Char"/>
    <w:basedOn w:val="Standardnpsmoodstavce"/>
    <w:link w:val="Podnadpis"/>
    <w:uiPriority w:val="11"/>
    <w:rsid w:val="002048E7"/>
    <w:rPr>
      <w:rFonts w:eastAsiaTheme="majorEastAsia" w:cstheme="majorBidi"/>
      <w:color w:val="595959" w:themeColor="text1" w:themeTint="A6"/>
      <w:spacing w:val="15"/>
      <w:sz w:val="28"/>
      <w:szCs w:val="28"/>
    </w:rPr>
  </w:style>
  <w:style w:type="paragraph" w:styleId="Citt">
    <w:name w:val="Quote"/>
    <w:basedOn w:val="Normln"/>
    <w:next w:val="Normln"/>
    <w:link w:val="CittChar"/>
    <w:uiPriority w:val="29"/>
    <w:qFormat/>
    <w:rsid w:val="002048E7"/>
    <w:pPr>
      <w:spacing w:before="160"/>
      <w:jc w:val="center"/>
    </w:pPr>
    <w:rPr>
      <w:i/>
      <w:iCs/>
      <w:color w:val="404040" w:themeColor="text1" w:themeTint="BF"/>
    </w:rPr>
  </w:style>
  <w:style w:type="character" w:customStyle="1" w:styleId="CittChar">
    <w:name w:val="Citát Char"/>
    <w:basedOn w:val="Standardnpsmoodstavce"/>
    <w:link w:val="Citt"/>
    <w:uiPriority w:val="29"/>
    <w:rsid w:val="002048E7"/>
    <w:rPr>
      <w:i/>
      <w:iCs/>
      <w:color w:val="404040" w:themeColor="text1" w:themeTint="BF"/>
    </w:rPr>
  </w:style>
  <w:style w:type="paragraph" w:styleId="Odstavecseseznamem">
    <w:name w:val="List Paragraph"/>
    <w:basedOn w:val="Normln"/>
    <w:uiPriority w:val="34"/>
    <w:qFormat/>
    <w:rsid w:val="002048E7"/>
    <w:pPr>
      <w:ind w:left="720"/>
      <w:contextualSpacing/>
    </w:pPr>
  </w:style>
  <w:style w:type="character" w:styleId="Zdraznnintenzivn">
    <w:name w:val="Intense Emphasis"/>
    <w:basedOn w:val="Standardnpsmoodstavce"/>
    <w:uiPriority w:val="21"/>
    <w:qFormat/>
    <w:rsid w:val="002048E7"/>
    <w:rPr>
      <w:i/>
      <w:iCs/>
      <w:color w:val="2F5496" w:themeColor="accent1" w:themeShade="BF"/>
    </w:rPr>
  </w:style>
  <w:style w:type="paragraph" w:styleId="Vrazncitt">
    <w:name w:val="Intense Quote"/>
    <w:basedOn w:val="Normln"/>
    <w:next w:val="Normln"/>
    <w:link w:val="VrazncittChar"/>
    <w:uiPriority w:val="30"/>
    <w:qFormat/>
    <w:rsid w:val="002048E7"/>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VrazncittChar">
    <w:name w:val="Výrazný citát Char"/>
    <w:basedOn w:val="Standardnpsmoodstavce"/>
    <w:link w:val="Vrazncitt"/>
    <w:uiPriority w:val="30"/>
    <w:rsid w:val="002048E7"/>
    <w:rPr>
      <w:i/>
      <w:iCs/>
      <w:color w:val="2F5496" w:themeColor="accent1" w:themeShade="BF"/>
    </w:rPr>
  </w:style>
  <w:style w:type="character" w:styleId="Odkazintenzivn">
    <w:name w:val="Intense Reference"/>
    <w:basedOn w:val="Standardnpsmoodstavce"/>
    <w:uiPriority w:val="32"/>
    <w:qFormat/>
    <w:rsid w:val="002048E7"/>
    <w:rPr>
      <w:b/>
      <w:bCs/>
      <w:smallCaps/>
      <w:color w:val="2F5496"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4</Pages>
  <Words>685</Words>
  <Characters>4046</Characters>
  <Application>Microsoft Office Word</Application>
  <DocSecurity>0</DocSecurity>
  <Lines>33</Lines>
  <Paragraphs>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Hladíková Kateřina</dc:creator>
  <cp:keywords/>
  <dc:description/>
  <cp:lastModifiedBy>Kremla Martin</cp:lastModifiedBy>
  <cp:revision>2</cp:revision>
  <dcterms:created xsi:type="dcterms:W3CDTF">2025-09-16T05:32:00Z</dcterms:created>
  <dcterms:modified xsi:type="dcterms:W3CDTF">2025-11-18T12:57:00Z</dcterms:modified>
</cp:coreProperties>
</file>